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Dingle Community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Co-opted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Karen Ball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25/11/2025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25/11/2025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24/11/2029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Paul Bellamy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22/09/2029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Miss Lee-Anne Knowles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13/01/2025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13/01/2025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12/01/2029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Julie Mills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20/01/2026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20/01/2026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19/01/2030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Wendy Newton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01/10/2015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16/09/2023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15/09/2027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Nichola Heather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Authority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Paul Mountford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06/01/2025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06/01/2025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05/01/2029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Jenna Jewkes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04/12/2025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04/12/2025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03/12/2029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Staff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Hannah Kitching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16/09/2029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